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89677" w14:textId="77777777" w:rsidR="00287E14" w:rsidRPr="00287E14" w:rsidRDefault="00287E14" w:rsidP="00287E14">
      <w:pPr>
        <w:ind w:left="851"/>
        <w:jc w:val="right"/>
        <w:rPr>
          <w:rFonts w:ascii="Arial" w:hAnsi="Arial" w:cs="Arial"/>
          <w:b/>
          <w:bCs/>
        </w:rPr>
      </w:pPr>
      <w:r w:rsidRPr="00287E14">
        <w:rPr>
          <w:rFonts w:ascii="Arial" w:hAnsi="Arial" w:cs="Arial"/>
          <w:b/>
          <w:bCs/>
        </w:rPr>
        <w:t>Утверждено:</w:t>
      </w:r>
    </w:p>
    <w:p w14:paraId="2541297A" w14:textId="77777777" w:rsidR="00287E14" w:rsidRPr="00287E14" w:rsidRDefault="00287E14" w:rsidP="00287E14">
      <w:pPr>
        <w:rPr>
          <w:rFonts w:ascii="Arial" w:hAnsi="Arial" w:cs="Arial"/>
          <w:u w:val="single"/>
        </w:rPr>
      </w:pPr>
      <w:r w:rsidRPr="00287E14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287E14">
        <w:rPr>
          <w:rFonts w:ascii="Arial" w:hAnsi="Arial" w:cs="Arial"/>
          <w:u w:val="single"/>
        </w:rPr>
        <w:t>Директор проекта______</w:t>
      </w:r>
    </w:p>
    <w:p w14:paraId="4FE0E36B" w14:textId="77777777" w:rsidR="00287E14" w:rsidRPr="00287E14" w:rsidRDefault="00287E14" w:rsidP="00287E14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287E14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1815F42" w14:textId="77777777" w:rsidR="00287E14" w:rsidRPr="00287E14" w:rsidRDefault="00287E14" w:rsidP="00287E14">
      <w:pPr>
        <w:rPr>
          <w:rFonts w:ascii="Arial" w:hAnsi="Arial" w:cs="Arial"/>
          <w:sz w:val="22"/>
          <w:szCs w:val="22"/>
          <w:u w:val="single"/>
        </w:rPr>
      </w:pPr>
      <w:r w:rsidRPr="00287E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287E14">
        <w:rPr>
          <w:rFonts w:ascii="Arial" w:hAnsi="Arial" w:cs="Arial"/>
          <w:sz w:val="22"/>
          <w:szCs w:val="22"/>
          <w:u w:val="single"/>
        </w:rPr>
        <w:t>Герлиц К.Н.         _________</w:t>
      </w:r>
    </w:p>
    <w:p w14:paraId="5B302338" w14:textId="75A11423" w:rsidR="00287E14" w:rsidRDefault="00287E14" w:rsidP="00287E14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287E1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(подпись)</w:t>
      </w:r>
    </w:p>
    <w:p w14:paraId="3F8E8BC2" w14:textId="77777777" w:rsidR="00287E14" w:rsidRPr="00287E14" w:rsidRDefault="00287E14" w:rsidP="00287E14">
      <w:pPr>
        <w:jc w:val="center"/>
        <w:rPr>
          <w:rFonts w:ascii="Arial" w:hAnsi="Arial" w:cs="Arial"/>
          <w:sz w:val="22"/>
          <w:szCs w:val="22"/>
        </w:rPr>
      </w:pPr>
    </w:p>
    <w:p w14:paraId="58DB669F" w14:textId="37D5E4C4" w:rsidR="00287E14" w:rsidRDefault="00287E14" w:rsidP="00287E14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24.07.2025г.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675"/>
        <w:gridCol w:w="1985"/>
        <w:gridCol w:w="6946"/>
        <w:gridCol w:w="567"/>
        <w:gridCol w:w="6379"/>
      </w:tblGrid>
      <w:tr w:rsidR="007B094A" w14:paraId="155A642E" w14:textId="77777777" w:rsidTr="00B34557">
        <w:trPr>
          <w:trHeight w:val="254"/>
        </w:trPr>
        <w:tc>
          <w:tcPr>
            <w:tcW w:w="9606" w:type="dxa"/>
            <w:gridSpan w:val="3"/>
            <w:shd w:val="clear" w:color="auto" w:fill="auto"/>
          </w:tcPr>
          <w:p w14:paraId="1D562865" w14:textId="7218230C" w:rsidR="00B34557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комплекса работ по устройству кровли</w:t>
            </w:r>
          </w:p>
          <w:p w14:paraId="7BB87916" w14:textId="740A1439" w:rsidR="007B094A" w:rsidRPr="00B34557" w:rsidRDefault="007B094A" w:rsidP="00B345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094A" w14:paraId="648DEFB4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</w:trPr>
        <w:tc>
          <w:tcPr>
            <w:tcW w:w="1017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B34557" w14:paraId="32DEDCA5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</w:trPr>
        <w:tc>
          <w:tcPr>
            <w:tcW w:w="2660" w:type="dxa"/>
            <w:gridSpan w:val="2"/>
            <w:shd w:val="clear" w:color="auto" w:fill="auto"/>
          </w:tcPr>
          <w:p w14:paraId="3431B91D" w14:textId="77777777" w:rsidR="00B34557" w:rsidRDefault="00B34557" w:rsidP="00B34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2975683" w14:textId="75906F7C" w:rsidR="00B34557" w:rsidRDefault="00B34557" w:rsidP="00B345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Школа 21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г.Кемерово</w:t>
            </w:r>
            <w:proofErr w:type="spellEnd"/>
          </w:p>
        </w:tc>
      </w:tr>
      <w:tr w:rsidR="00B34557" w14:paraId="4F7073F0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B34557" w:rsidRDefault="00B34557" w:rsidP="00B34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29F5A2BA" w14:textId="68386349" w:rsidR="00B34557" w:rsidRDefault="00B34557" w:rsidP="00B34557">
            <w:pPr>
              <w:rPr>
                <w:rFonts w:ascii="Arial" w:hAnsi="Arial" w:cs="Arial"/>
                <w:sz w:val="22"/>
                <w:szCs w:val="22"/>
              </w:rPr>
            </w:pPr>
            <w:r w:rsidRPr="00AF1302">
              <w:rPr>
                <w:rFonts w:ascii="Arial" w:hAnsi="Arial" w:cs="Arial"/>
                <w:sz w:val="22"/>
                <w:szCs w:val="22"/>
              </w:rPr>
              <w:t xml:space="preserve">г. Кемерово, Центральный район, </w:t>
            </w:r>
            <w:proofErr w:type="spellStart"/>
            <w:r w:rsidRPr="00AF1302">
              <w:rPr>
                <w:rFonts w:ascii="Arial" w:hAnsi="Arial" w:cs="Arial"/>
                <w:sz w:val="22"/>
                <w:szCs w:val="22"/>
              </w:rPr>
              <w:t>Притомский</w:t>
            </w:r>
            <w:proofErr w:type="spellEnd"/>
            <w:r w:rsidRPr="00AF1302">
              <w:rPr>
                <w:rFonts w:ascii="Arial" w:hAnsi="Arial" w:cs="Arial"/>
                <w:sz w:val="22"/>
                <w:szCs w:val="22"/>
              </w:rPr>
              <w:t xml:space="preserve"> проспект, 4Б</w:t>
            </w:r>
          </w:p>
        </w:tc>
      </w:tr>
      <w:tr w:rsidR="007B094A" w14:paraId="6EDE153C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</w:trPr>
        <w:tc>
          <w:tcPr>
            <w:tcW w:w="1017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</w:trPr>
        <w:tc>
          <w:tcPr>
            <w:tcW w:w="10173" w:type="dxa"/>
            <w:gridSpan w:val="4"/>
            <w:shd w:val="clear" w:color="auto" w:fill="auto"/>
          </w:tcPr>
          <w:p w14:paraId="5DF783B4" w14:textId="55A63DB2" w:rsidR="00B34557" w:rsidRDefault="00B34557" w:rsidP="00B345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Начало выполнения работ: 25.09.2025</w:t>
            </w:r>
          </w:p>
          <w:p w14:paraId="604A8F71" w14:textId="0A095196" w:rsidR="000721F1" w:rsidRDefault="00B34557" w:rsidP="00B345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 01.12.2025</w:t>
            </w:r>
          </w:p>
        </w:tc>
      </w:tr>
      <w:tr w:rsidR="007B094A" w14:paraId="7B71F850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</w:trPr>
        <w:tc>
          <w:tcPr>
            <w:tcW w:w="1017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</w:trPr>
        <w:tc>
          <w:tcPr>
            <w:tcW w:w="10173" w:type="dxa"/>
            <w:gridSpan w:val="4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</w:trPr>
        <w:tc>
          <w:tcPr>
            <w:tcW w:w="1017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73660EF" w14:textId="282C32A7" w:rsidR="007B094A" w:rsidRDefault="00CA03FC" w:rsidP="00E076C3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Оплачивается путем перечисления денежных средств на расчетный счет субподрядчика в течение </w:t>
            </w:r>
            <w:r w:rsidR="00E076C3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 xml:space="preserve">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291"/>
        </w:trPr>
        <w:tc>
          <w:tcPr>
            <w:tcW w:w="10173" w:type="dxa"/>
            <w:gridSpan w:val="4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3604556" w14:textId="534A0A99" w:rsidR="003915DA" w:rsidRPr="00B56D09" w:rsidRDefault="00F97DAC" w:rsidP="00E076C3">
            <w:pPr>
              <w:rPr>
                <w:rFonts w:ascii="Arial" w:hAnsi="Arial" w:cs="Arial"/>
                <w:sz w:val="22"/>
                <w:szCs w:val="22"/>
              </w:rPr>
            </w:pPr>
            <w:r w:rsidRPr="00F97DAC">
              <w:rPr>
                <w:rFonts w:ascii="Arial" w:hAnsi="Arial" w:cs="Arial"/>
                <w:sz w:val="22"/>
                <w:szCs w:val="22"/>
              </w:rPr>
              <w:t>6</w:t>
            </w:r>
            <w:r w:rsidR="00B45985">
              <w:rPr>
                <w:rFonts w:ascii="Arial" w:hAnsi="Arial" w:cs="Arial"/>
                <w:sz w:val="22"/>
                <w:szCs w:val="22"/>
              </w:rPr>
              <w:t>971</w:t>
            </w:r>
            <w:r w:rsidRPr="00F97DAC">
              <w:rPr>
                <w:rFonts w:ascii="Arial" w:hAnsi="Arial" w:cs="Arial"/>
                <w:sz w:val="22"/>
                <w:szCs w:val="22"/>
              </w:rPr>
              <w:t>-АР</w:t>
            </w:r>
            <w:r w:rsidR="00B56D0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56D09" w:rsidRPr="00B56D09">
              <w:rPr>
                <w:rFonts w:ascii="Arial" w:hAnsi="Arial" w:cs="Arial"/>
                <w:sz w:val="22"/>
                <w:szCs w:val="22"/>
              </w:rPr>
              <w:t>https://document-link.sarex.io/872927ed-c92f-408b-a82c-c1fb47a63ea4</w:t>
            </w:r>
          </w:p>
        </w:tc>
      </w:tr>
      <w:tr w:rsidR="007B094A" w14:paraId="17720176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814223A" w14:textId="0B6732C0" w:rsidR="007B094A" w:rsidRDefault="00833650" w:rsidP="0083365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плекса работ по устройству кровли</w:t>
            </w:r>
            <w:r w:rsidR="0040536C">
              <w:rPr>
                <w:rFonts w:ascii="Arial" w:hAnsi="Arial" w:cs="Arial"/>
                <w:sz w:val="22"/>
                <w:szCs w:val="22"/>
              </w:rPr>
              <w:t>; Ведомость объемов работ (Приложение №1).</w:t>
            </w:r>
          </w:p>
        </w:tc>
      </w:tr>
      <w:tr w:rsidR="007B094A" w14:paraId="46DB1968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299"/>
        </w:trPr>
        <w:tc>
          <w:tcPr>
            <w:tcW w:w="10173" w:type="dxa"/>
            <w:gridSpan w:val="4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411"/>
        </w:trPr>
        <w:tc>
          <w:tcPr>
            <w:tcW w:w="10173" w:type="dxa"/>
            <w:gridSpan w:val="4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411"/>
        </w:trPr>
        <w:tc>
          <w:tcPr>
            <w:tcW w:w="10173" w:type="dxa"/>
            <w:gridSpan w:val="4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По окончании работ убрать весь строительный мусор, остатки стройматериалов,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10173" w:type="dxa"/>
            <w:gridSpan w:val="4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10173" w:type="dxa"/>
            <w:gridSpan w:val="4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380"/>
        </w:trPr>
        <w:tc>
          <w:tcPr>
            <w:tcW w:w="10173" w:type="dxa"/>
            <w:gridSpan w:val="4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B3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9" w:type="dxa"/>
          <w:trHeight w:val="2232"/>
        </w:trPr>
        <w:tc>
          <w:tcPr>
            <w:tcW w:w="10173" w:type="dxa"/>
            <w:gridSpan w:val="4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5B675296" w14:textId="77777777" w:rsidR="00B45985" w:rsidRDefault="00B45985" w:rsidP="00B45985">
      <w:pPr>
        <w:rPr>
          <w:rFonts w:ascii="Arial" w:hAnsi="Arial" w:cs="Arial"/>
          <w:noProof/>
          <w:sz w:val="22"/>
          <w:szCs w:val="22"/>
          <w:u w:val="single"/>
        </w:rPr>
      </w:pPr>
    </w:p>
    <w:p w14:paraId="728B8C75" w14:textId="77777777" w:rsidR="00B45985" w:rsidRDefault="00B45985" w:rsidP="00B45985">
      <w:pPr>
        <w:rPr>
          <w:rFonts w:ascii="Arial" w:hAnsi="Arial" w:cs="Arial"/>
          <w:noProof/>
          <w:sz w:val="22"/>
          <w:szCs w:val="22"/>
          <w:u w:val="single"/>
        </w:rPr>
      </w:pPr>
    </w:p>
    <w:p w14:paraId="729AEA6A" w14:textId="25D83590" w:rsidR="00B45985" w:rsidRPr="00EE6B24" w:rsidRDefault="00B45985" w:rsidP="00B45985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3C1FCE3B" w14:textId="77777777" w:rsidR="00B45985" w:rsidRPr="00EE6B24" w:rsidRDefault="00B45985" w:rsidP="00B45985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Ваулина Марина Максимовна, инженер ПТО</w:t>
      </w:r>
    </w:p>
    <w:p w14:paraId="2B3792AA" w14:textId="77777777" w:rsidR="00B45985" w:rsidRPr="00EE6B24" w:rsidRDefault="00B45985" w:rsidP="00B45985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</w:rPr>
        <w:t>Телефон: +7-923-521-03-64</w:t>
      </w:r>
    </w:p>
    <w:p w14:paraId="0E024673" w14:textId="77777777" w:rsidR="00B45985" w:rsidRPr="00B45985" w:rsidRDefault="00B45985" w:rsidP="00B45985">
      <w:pPr>
        <w:rPr>
          <w:rFonts w:ascii="Arial" w:hAnsi="Arial" w:cs="Arial"/>
          <w:noProof/>
          <w:sz w:val="22"/>
          <w:szCs w:val="22"/>
          <w:u w:val="single"/>
        </w:rPr>
      </w:pP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E</w:t>
      </w:r>
      <w:r w:rsidRPr="00B45985">
        <w:rPr>
          <w:rFonts w:ascii="Arial" w:hAnsi="Arial" w:cs="Arial"/>
          <w:noProof/>
          <w:sz w:val="22"/>
          <w:szCs w:val="22"/>
          <w:u w:val="single"/>
        </w:rPr>
        <w:t>-</w:t>
      </w:r>
      <w:r w:rsidRPr="00EE6B24">
        <w:rPr>
          <w:rFonts w:ascii="Arial" w:hAnsi="Arial" w:cs="Arial"/>
          <w:noProof/>
          <w:sz w:val="22"/>
          <w:szCs w:val="22"/>
          <w:u w:val="single"/>
          <w:lang w:val="en-US"/>
        </w:rPr>
        <w:t>mail</w:t>
      </w:r>
      <w:r w:rsidRPr="00B45985">
        <w:rPr>
          <w:rFonts w:ascii="Arial" w:hAnsi="Arial" w:cs="Arial"/>
          <w:noProof/>
          <w:sz w:val="22"/>
          <w:szCs w:val="22"/>
          <w:u w:val="single"/>
        </w:rPr>
        <w:t xml:space="preserve">:  </w:t>
      </w:r>
      <w:hyperlink r:id="rId7" w:history="1"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m</w:t>
        </w:r>
        <w:r w:rsidRPr="00B45985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</w:t>
        </w:r>
        <w:r w:rsidRPr="00F04594">
          <w:rPr>
            <w:rStyle w:val="a7"/>
            <w:rFonts w:ascii="Arial" w:hAnsi="Arial" w:cs="Arial"/>
            <w:noProof/>
            <w:sz w:val="22"/>
            <w:szCs w:val="22"/>
          </w:rPr>
          <w:t>а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ulina</w:t>
        </w:r>
        <w:r w:rsidRPr="00B45985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Pr="00B45985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Pr="00B45985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F04594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08555038" w14:textId="77777777" w:rsidR="00B45985" w:rsidRPr="00B45985" w:rsidRDefault="00B45985" w:rsidP="00B45985">
      <w:pPr>
        <w:rPr>
          <w:rFonts w:ascii="Arial" w:hAnsi="Arial" w:cs="Arial"/>
          <w:color w:val="000000"/>
          <w:sz w:val="22"/>
          <w:szCs w:val="22"/>
        </w:rPr>
      </w:pPr>
    </w:p>
    <w:p w14:paraId="4BF32ECA" w14:textId="77777777" w:rsidR="00B45985" w:rsidRDefault="00B45985" w:rsidP="00B45985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810C" w14:textId="77777777" w:rsidR="002612D0" w:rsidRDefault="002612D0" w:rsidP="00C94D67">
      <w:r>
        <w:separator/>
      </w:r>
    </w:p>
  </w:endnote>
  <w:endnote w:type="continuationSeparator" w:id="0">
    <w:p w14:paraId="75291980" w14:textId="77777777" w:rsidR="002612D0" w:rsidRDefault="002612D0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2AA6" w14:textId="77777777" w:rsidR="002612D0" w:rsidRDefault="002612D0" w:rsidP="00C94D67">
      <w:r>
        <w:separator/>
      </w:r>
    </w:p>
  </w:footnote>
  <w:footnote w:type="continuationSeparator" w:id="0">
    <w:p w14:paraId="3D260B6D" w14:textId="77777777" w:rsidR="002612D0" w:rsidRDefault="002612D0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555EB1A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52462"/>
    <w:rsid w:val="000721F1"/>
    <w:rsid w:val="000751A0"/>
    <w:rsid w:val="000C4862"/>
    <w:rsid w:val="001036D8"/>
    <w:rsid w:val="00155D19"/>
    <w:rsid w:val="001D32B2"/>
    <w:rsid w:val="001E487B"/>
    <w:rsid w:val="002338DF"/>
    <w:rsid w:val="002612D0"/>
    <w:rsid w:val="00272CC3"/>
    <w:rsid w:val="00287E14"/>
    <w:rsid w:val="002F6D44"/>
    <w:rsid w:val="003915DA"/>
    <w:rsid w:val="0040536C"/>
    <w:rsid w:val="00493185"/>
    <w:rsid w:val="00591B85"/>
    <w:rsid w:val="005D5768"/>
    <w:rsid w:val="006069C0"/>
    <w:rsid w:val="00681664"/>
    <w:rsid w:val="006E517A"/>
    <w:rsid w:val="006E5C74"/>
    <w:rsid w:val="006F53E0"/>
    <w:rsid w:val="007351E6"/>
    <w:rsid w:val="00791E18"/>
    <w:rsid w:val="007B094A"/>
    <w:rsid w:val="007F3F60"/>
    <w:rsid w:val="00833650"/>
    <w:rsid w:val="008907B0"/>
    <w:rsid w:val="009C705C"/>
    <w:rsid w:val="009E5213"/>
    <w:rsid w:val="00A54F30"/>
    <w:rsid w:val="00B34557"/>
    <w:rsid w:val="00B45985"/>
    <w:rsid w:val="00B56D09"/>
    <w:rsid w:val="00C74F99"/>
    <w:rsid w:val="00C94D67"/>
    <w:rsid w:val="00CA03FC"/>
    <w:rsid w:val="00CD0D83"/>
    <w:rsid w:val="00DB78EB"/>
    <w:rsid w:val="00E076C3"/>
    <w:rsid w:val="00E36604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  <w15:docId w15:val="{0282DA63-7CE7-4C96-8B1F-1BBBFE0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v&#1072;ulina@sds-str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Ваулина Марина Максимовна</cp:lastModifiedBy>
  <cp:revision>20</cp:revision>
  <dcterms:created xsi:type="dcterms:W3CDTF">2025-04-11T09:07:00Z</dcterms:created>
  <dcterms:modified xsi:type="dcterms:W3CDTF">2025-07-24T08:38:00Z</dcterms:modified>
</cp:coreProperties>
</file>